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>№ п/п</w:t>
            </w:r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МДОУ (работа ППк МДОУ)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>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не показывают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</w:t>
            </w:r>
            <w:r w:rsidRPr="00107024">
              <w:rPr>
                <w:rStyle w:val="1"/>
                <w:rFonts w:eastAsiaTheme="minorHAnsi"/>
              </w:rPr>
              <w:lastRenderedPageBreak/>
              <w:t>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темы </w:t>
            </w:r>
            <w:r w:rsidRPr="00107024">
              <w:rPr>
                <w:rStyle w:val="1"/>
                <w:rFonts w:eastAsiaTheme="minorHAnsi"/>
              </w:rPr>
              <w:lastRenderedPageBreak/>
              <w:t>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организует различные упражнения и игры на развитие любознательности, побуждающие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</w:t>
            </w:r>
            <w:r w:rsidRPr="00107024">
              <w:rPr>
                <w:rStyle w:val="1"/>
                <w:rFonts w:eastAsiaTheme="minorHAnsi"/>
              </w:rPr>
              <w:lastRenderedPageBreak/>
              <w:t>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</w:t>
            </w:r>
            <w:r w:rsidRPr="00107024">
              <w:rPr>
                <w:rStyle w:val="1"/>
              </w:rPr>
              <w:lastRenderedPageBreak/>
              <w:t>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color w:val="00000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43D1-C417-4F38-A6B5-41B562F5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16</Pages>
  <Words>7858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22</cp:revision>
  <dcterms:created xsi:type="dcterms:W3CDTF">2023-07-27T10:42:00Z</dcterms:created>
  <dcterms:modified xsi:type="dcterms:W3CDTF">2023-08-07T09:48:00Z</dcterms:modified>
</cp:coreProperties>
</file>